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41C546"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省社科联省科协关于贵州省新文科实验室培育遴选的通知</w:t>
      </w:r>
    </w:p>
    <w:p w14:paraId="00C4C44C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2C936A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各高等院校社科联、科协，市（州）社科联、科协，省级社科类社会组织、科技社团，相关研究机构：</w:t>
      </w:r>
    </w:p>
    <w:p w14:paraId="4990AC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kern w:val="2"/>
          <w:sz w:val="24"/>
          <w:szCs w:val="24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为推动哲学社会科学创新发展、加快构建中国特色哲学社会科学自主知识体系，进一步深化有组织科研、促进学科交叉融合、提升决策服务能力、实现文理融通与数智赋能，省社科联、省科协联合组织开展新文科实验室培育遴选工作，通知如下。</w:t>
      </w:r>
    </w:p>
    <w:p w14:paraId="1E9613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  <w:lang w:val="en-US" w:eastAsia="zh-CN"/>
        </w:rPr>
        <w:t>一、指导思想</w:t>
      </w:r>
    </w:p>
    <w:p w14:paraId="424BD1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坚持以习近平新时代中国特色社会主义思想为指导，深入贯彻党的二十大和二十届二中、三中、四中全会精神，落实习近平总书记关于科技创新、哲学社会科学的重要论述精神，锚定“两个结合”与守正创新要求，紧扣中国式现代化贵州实践重大问题，以文理融通、数智赋能为核心路径，推动哲学社会科学与自然科学深度交叉融合，加快构建中国特色哲学社会科学自主知识体系贵州篇章，为全省高质量发展提供理论支撑与决策服务。</w:t>
      </w:r>
    </w:p>
    <w:p w14:paraId="0C1145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  <w:lang w:val="en-US" w:eastAsia="zh-CN"/>
        </w:rPr>
        <w:t>二、目的意义</w:t>
      </w:r>
    </w:p>
    <w:p w14:paraId="5DD9BA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新文科实验室是构建贵州特色哲学社会科学学科体系、学术体系、话语体系的核心载体，是服务省委省政府决策、完善科研体制机制、提升治理能力的关键试验田。紧扣经济社会发展前瞻性、综合性、复杂性问题，通过社会科学+自然科学交叉创新，运用大数据、人工智能、空间分析等技术手段，打破学科壁垒，建成“学科交叉融合、教学科研咨政并重、文理融通协同”的高质量创新平台，培育新学术增长点，培养复合型创新人才，释放科研活力，助力贵州现代化建设。</w:t>
      </w:r>
    </w:p>
    <w:p w14:paraId="1C4D0C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  <w:lang w:val="en-US" w:eastAsia="zh-CN"/>
        </w:rPr>
        <w:t>三、创建方式</w:t>
      </w:r>
    </w:p>
    <w:p w14:paraId="6F53BA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（一）依托单位</w:t>
      </w:r>
    </w:p>
    <w:p w14:paraId="1F62AE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bookmarkStart w:id="0" w:name="_GoBack"/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高校、党校（行政学院）、科研院所、社会组织、科技企业等，优先支持文理交叉基础好、有实体研究机构的单位，鼓励跨单位联合申报。</w:t>
      </w:r>
    </w:p>
    <w:bookmarkEnd w:id="0"/>
    <w:p w14:paraId="09FD66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（二）动态管理与建设周期</w:t>
      </w:r>
    </w:p>
    <w:p w14:paraId="68B7E9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实行“专家认定、择优入选、定期考核、优胜劣汰”动态机制，建设周期5年（含1年试运行期）。试运行期满未通过验收的，取消立项资格；通过验收的正式挂牌运行。</w:t>
      </w:r>
    </w:p>
    <w:p w14:paraId="6F8D5C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（三）基本条件</w:t>
      </w:r>
    </w:p>
    <w:p w14:paraId="015FDF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1.政治方向正确，单位高度重视，具备完善的实验室管理规章，在文理交叉、科研创新方面成效显著。</w:t>
      </w:r>
    </w:p>
    <w:p w14:paraId="21186F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2.学科基础。至少涵盖2个及以上一级学科，其中主要依托学科为哲学社会科学，须明确与1-2个自然科学学科（如大数据、人工智能、生态学、地理学、统计学等）的交叉方向，优先支持“双一流”社科类学科与省内优势理工学科交叉组合。</w:t>
      </w:r>
    </w:p>
    <w:p w14:paraId="46AB88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3.团队配置。组建文理融合复合型团队，专兼职人员不少于10人（含社科研究人员、自然科学技术人员、数据工程师等），设双负责人制（社科学术带头人+自然科学技术带头人），实验室首席专家（负责人）原则上不超过60周岁。</w:t>
      </w:r>
    </w:p>
    <w:p w14:paraId="1EEFB6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4.硬件与数据。实验室面积不少于300平方米，人员与用房相对集中；具备满足交叉研究的软硬件环境（如大数据平台、算力资源、地理信息系统、生态监测设备等）；拥有稳定、安全可控的社科+自然科学融合数据资源（如区域经济数据、生态环境数据、产业发展数据等），符合数据安全等级备案要求。</w:t>
      </w:r>
    </w:p>
    <w:p w14:paraId="0A1874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5.科研能力。具备解决重大交叉问题的实力，有明确的交叉研究方向与近、中、远期目标，能承担省级及以上交叉学科科研项目，已产出相关交叉研究成果或决策咨询报告。</w:t>
      </w:r>
    </w:p>
    <w:p w14:paraId="71307C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6.运行机制。实行依托单位领导下的主任负责制，建立开放、流动、联合、竞争的运行机制，能有效整合校内外、省内外社科与自然科学资源，开展联合攻关。</w:t>
      </w:r>
    </w:p>
    <w:p w14:paraId="2CFED6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（四）遴选流程</w:t>
      </w:r>
    </w:p>
    <w:p w14:paraId="6E0833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1.申报。依托单位填写《贵州省新文科实验室申报表》，明确社会科学与自然科学交叉方向、团队构成、硬件配置、数据资源、建设计划，经主管单位审核后于6月20日前报省社科联。</w:t>
      </w:r>
    </w:p>
    <w:p w14:paraId="75FE73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2.初审。省社科联、省科协联合初审，重点核查交叉可行性、团队专业性、条件匹配度。</w:t>
      </w:r>
    </w:p>
    <w:p w14:paraId="04F439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3.专家评审。组建交叉学科评审专家组（含社科、自然科学、决策咨询等领域专家），开展材料评审与实地考察，重点评估交叉研究方案的科学性、创新性与落地性。</w:t>
      </w:r>
    </w:p>
    <w:p w14:paraId="1C9CC5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4.择优认定。分试点、培育两类认定，试点优先支持交叉基础成熟、目标明确的单位，培育类重点扶持潜力型单位，结果公示后备案。</w:t>
      </w:r>
    </w:p>
    <w:p w14:paraId="02024A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5.启动建设。认定后3个月内，依托单位制定建设计划，明确交叉研究任务、经费使用方案、人才培养计划，报双牵头单位备案。</w:t>
      </w:r>
    </w:p>
    <w:p w14:paraId="0AF9C3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四、管理方式</w:t>
      </w:r>
    </w:p>
    <w:p w14:paraId="16B33C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（一）制度依据</w:t>
      </w:r>
    </w:p>
    <w:p w14:paraId="38F3AF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参考教育部《哲学社会科学实验室建设与管理办法（试行）》，结合省社科联与省科协合作实践，制定《贵州省新文科实验室培育遴选管理办法（试行）》，明确文理交叉管理细则，在实践中动态完善。</w:t>
      </w:r>
    </w:p>
    <w:p w14:paraId="2AB729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（二）运行管理</w:t>
      </w:r>
    </w:p>
    <w:p w14:paraId="13984B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1.组织架构。新文科实验室具体工作由省社科联研究室牵头组织。</w:t>
      </w:r>
    </w:p>
    <w:p w14:paraId="268183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2.经费保障。经费保障主要由所申报单位承担。</w:t>
      </w:r>
    </w:p>
    <w:p w14:paraId="7DCF39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3.人才培养。可推行“双导师制”（社科导师+自然科学导师），联合培养研究生；开设交叉学科课程，打造“基础通识—专业交叉—前沿拓展”梯度课程体系。</w:t>
      </w:r>
    </w:p>
    <w:p w14:paraId="46265E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4.成果管理。建立交叉成果评价体系，将决策咨询报告、交叉研究论文、技术转化成果、科普作品等纳入认定范围；实行成果贡献度拆分，明确社科与自然科学人员的成果归属，鼓励联合申报奖项、专利。</w:t>
      </w:r>
    </w:p>
    <w:p w14:paraId="262E72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5.开放共享。面向省内外开放交叉研究平台，共享数据资源、算力资源与研究设备；开展“社科+科技”联合学术活动、学术沙龙，促进学科交流融合。</w:t>
      </w:r>
    </w:p>
    <w:p w14:paraId="006B03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  <w:lang w:val="en-US" w:eastAsia="zh-CN"/>
        </w:rPr>
        <w:t>五、试点带动</w:t>
      </w:r>
    </w:p>
    <w:p w14:paraId="123175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（一）试点方向</w:t>
      </w:r>
    </w:p>
    <w:p w14:paraId="00FB5B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围绕贵州重点领域，培育一批社会科学+自然科学交叉试点实验室，重点方向包括：</w:t>
      </w:r>
    </w:p>
    <w:p w14:paraId="2F4F70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1.数字经济与治理。大数据、人工智能与社科交叉，研究数字经济治理、平台经济规范、数字社会建设。</w:t>
      </w:r>
    </w:p>
    <w:p w14:paraId="436FA3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2.生态经济与可持续发展。生态学、环境科学与社科交叉，研究喀斯特生态保护、绿色产业发展、生态补偿机制。</w:t>
      </w:r>
    </w:p>
    <w:p w14:paraId="43A89B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3.乡村振兴与城乡融合。地理学、统计学与社科交叉，研究乡村产业振兴、城乡融合发展、基层治理现代化。</w:t>
      </w:r>
    </w:p>
    <w:p w14:paraId="0877E3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4.文化传承与数字传播。考古学、设计学与自然科学交叉，研究贵州红色文化、民族文化、阳明文化、屯堡文化的保护与传播。</w:t>
      </w:r>
    </w:p>
    <w:p w14:paraId="5CBAB8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5.产业发展与决策咨询：工程管理、数据科学与社科交叉，研究“3533”重点产业集群、新质生产力培育、企业高质量发展。</w:t>
      </w:r>
    </w:p>
    <w:p w14:paraId="65605C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（二）试点任务</w:t>
      </w:r>
    </w:p>
    <w:p w14:paraId="2418FC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1.探索文理交叉的组织模式、管理机制、评价体系，形成可复制、可推广的经验。</w:t>
      </w:r>
    </w:p>
    <w:p w14:paraId="5DCFCB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2.聚焦贵州重大需求，产出一批高质量交叉研究成果与决策咨询报告，服务地方发展。</w:t>
      </w:r>
    </w:p>
    <w:p w14:paraId="730350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3.培养一批文理融通的复合型人才，打造一支高水平交叉研究团队。</w:t>
      </w:r>
    </w:p>
    <w:p w14:paraId="654BCE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4.建设一批社科+自然科学融合的数据平台、研究工具，提升科研创新能力。</w:t>
      </w:r>
    </w:p>
    <w:p w14:paraId="6E95F9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</w:p>
    <w:p w14:paraId="0C53CD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right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贵州省社会科学界联合会 贵州省科学技术协会</w:t>
      </w:r>
    </w:p>
    <w:p w14:paraId="74429D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right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2026年5月13日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3555E0FF-6F2C-48AA-B419-848EDE68522A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E608E6E4-2204-40D4-ACB2-93D50C4B2EAB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152AD003-A8C3-44D9-A3D1-D058715AE43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2DA3A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62B82E8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62B82E8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D362BE"/>
    <w:rsid w:val="39FB0D9D"/>
    <w:rsid w:val="5132569C"/>
    <w:rsid w:val="57E323DB"/>
    <w:rsid w:val="5AB06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2026-05-19T02:35:45Z</dcterms:created>
  <dc:creator>dell</dc:creator>
  <cp:lastModifiedBy>DELL</cp:lastModifiedBy>
  <dcterms:modified xsi:type="dcterms:W3CDTF">2026-05-19T02:42:22Z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eyJoZGlkIjoiZjgyNjZmN2I5NGJiYThlNTJiYTA3OTMyOTIwM2VmZWMiLCJ1c2VySWQiOiIyNDA4NDY2NDAifQ==</vt:lpwstr>
  </property>
  <property fmtid="{D5CDD505-2E9C-101B-9397-08002B2CF9AE}" pid="4" name="ICV">
    <vt:lpwstr>D681AA07DB634826A1E7CFB335B3A85F_12</vt:lpwstr>
  </property>
</Properties>
</file>