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44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2F36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bookmarkStart w:id="0" w:name="OLE_LINK4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2027年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贵州省基层科普行动计划项目</w:t>
      </w:r>
    </w:p>
    <w:p w14:paraId="46800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说明</w:t>
      </w:r>
      <w:bookmarkEnd w:id="0"/>
    </w:p>
    <w:p w14:paraId="40F23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4CEF5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10"/>
          <w:szCs w:val="1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项目申报遵循“资金效率最大化、工作措施可执行、工作成效可测量”原则，各项目实施规模、服务频次、覆盖人群等需达到各工程重点绩效指标，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各工程绩效指标为指导性指标，申报单位可结合实际进行填报。</w:t>
      </w:r>
    </w:p>
    <w:p w14:paraId="302121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科普惠农强村工程</w:t>
      </w:r>
    </w:p>
    <w:p w14:paraId="1FB18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核心目标：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提升农民科学素质，推广先进实用农业技术，促进农业增产、农民增收和农村发展。</w:t>
      </w:r>
    </w:p>
    <w:p w14:paraId="7276A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资助对象：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村（寨）、科技小院、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农技协、涉农企业、农村科普基地、基层科协组织等。</w:t>
      </w:r>
    </w:p>
    <w:p w14:paraId="485F7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资助数量：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计划实施10-25个项目。</w:t>
      </w:r>
    </w:p>
    <w:p w14:paraId="34D0E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资助资金：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每个项目10-20万元。</w:t>
      </w:r>
    </w:p>
    <w:p w14:paraId="77B89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重点绩效指标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（选择以下两项以上指标进行填报）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：</w:t>
      </w:r>
    </w:p>
    <w:p w14:paraId="1513DC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‌农业技术推广‌：聚焦重点难点和瓶颈问题，年度组织农技专家下乡20人次以上，推广技术（如新品种推广、新技术应用、新方法推介等）惠及农民200人以上，发放技术手册类资料1000册/份以上。</w:t>
      </w:r>
    </w:p>
    <w:p w14:paraId="066FA97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科技骨干培养‌：明确主题构建分层培训体系（基础班+提升班），科学设置课程，以骨干带动群体，年度培训农村科技骨干200人次以上，培训课程中实操课时占比30%以上，考核合格率达90%以上。</w:t>
      </w:r>
    </w:p>
    <w:p w14:paraId="22ADDF8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科普阵地建设‌：实施区域建设1个以上农村科普推广站点，培育5个以上科技推广示范户，带动产业升级项目（如特色种植、农产品加工等）2项以上，实现农户增收；或建设科普基地（广场、长廊）等阵地1个，开展主题科普讲座、活动5场以上，惠及农民500人次以上。</w:t>
      </w:r>
    </w:p>
    <w:p w14:paraId="202DA2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科普社区益民工程</w:t>
      </w:r>
    </w:p>
    <w:p w14:paraId="1CC4C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核心目标：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提升社区居民（重点是城镇劳动者、老年人、青少年）的科学素质，倡导科学、文明、健康的生活方式，促进和谐社区建设。</w:t>
      </w:r>
    </w:p>
    <w:p w14:paraId="0069F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资助对象：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社区、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科协所属科技社团、科普教育基地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、科普场馆、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基层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科协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等。</w:t>
      </w:r>
    </w:p>
    <w:p w14:paraId="1D1E19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资助数量：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计划实施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10-25个项目。</w:t>
      </w:r>
    </w:p>
    <w:p w14:paraId="5708D0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资助资金：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每个项目10-20万元。</w:t>
      </w:r>
    </w:p>
    <w:p w14:paraId="768F8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重点绩效指标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（选择以下两项以上指标进行填报）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：</w:t>
      </w:r>
    </w:p>
    <w:p w14:paraId="0378FE8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实现科普有效覆盖：实施区域建设社区科普驿站（或社区微科普馆、科普活动室）等科普阵地不少于1个，开展主题科普活动15场以上，惠及居民2000人次以上，“一老一小”参与率达50%以上。</w:t>
      </w:r>
    </w:p>
    <w:p w14:paraId="37B7637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开展科普专项行动：联合相关单位或科技社团开展健康卫生、食品安全、防灾减灾等专题讲座、培训10次以上；每季度开展科技志愿服务不少于2场；惠及居民2000人次以上。</w:t>
      </w:r>
    </w:p>
    <w:p w14:paraId="256D24C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推进智慧生活普及：开展智能设备使用培训10场以上，参与居民基础数字技能掌握率达70%以上，实施区域防诈骗宣传覆盖率达90%以上。</w:t>
      </w:r>
    </w:p>
    <w:p w14:paraId="0E356A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科普能力提升工程</w:t>
      </w:r>
    </w:p>
    <w:p w14:paraId="7643CA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核心目标：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紧扣省科协“十五五”优化普惠共享的科学素质提升服务体系建设部署，提升项目实施单位自身的科普内容开发、活动策划组织、传播推广、资源整合等核心能力，夯实基层常态化科普服务基础，推动本土优质科普资源下沉普及。</w:t>
      </w:r>
    </w:p>
    <w:p w14:paraId="482BC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资助对象：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中小学校、高校和企（事）业科协、科研院所、科协所属科技社团、科普教育基地、科普场馆，各级科协组织及具备科普职能的机构。</w:t>
      </w:r>
    </w:p>
    <w:p w14:paraId="55E88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资助数量：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计划实施20-35个项目。</w:t>
      </w:r>
    </w:p>
    <w:p w14:paraId="119B2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资助资金：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每个项目10-20万元。</w:t>
      </w:r>
    </w:p>
    <w:p w14:paraId="2095F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重点绩效指标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（选择以下两项以上指标进行填报）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</w:p>
    <w:p w14:paraId="2079E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（1）人才队伍建设：根据新时代需要，着眼科普综合能力提升，培训基层科普志愿者（或科普信息员）200人以上，组建流动科普服务队或民族科普工作队；开展科普活动20场以上，服务村或社区5个以上。</w:t>
      </w:r>
    </w:p>
    <w:p w14:paraId="1E64E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（2）设施设备升级：为乡村、社区、基层科协、科技社团等配备/更新VR、数字展板等科普设备，实现设施优化升级，促进科普服务效能提升，实施区域受众增长50%以上。</w:t>
      </w:r>
    </w:p>
    <w:p w14:paraId="1DCD7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（3）信息化平台建设：搭建或完善科普宣传平台，集聚科普图文、音视频、本土科普读物等优质科普资源，实行分类服务和精准推送，点击量不少于1万次。</w:t>
      </w:r>
    </w:p>
    <w:p w14:paraId="34479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（4）科普品牌打造：充分用好《十万个为什么·贵州》等本土科普资源，构建专业科普内容体系，搭建共建共享特色科普活动品牌，参与公众对品牌认可度达80%以上。</w:t>
      </w:r>
    </w:p>
    <w:p w14:paraId="0E7A72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科普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示范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创新工程</w:t>
      </w:r>
    </w:p>
    <w:p w14:paraId="1D2121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核心目标：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对标省科协“十五五”普惠共享科学素质提升服务体系建设要求，探索科普新机制、新业态、新模式，推动“科普+”跨界融合、数字化科普、科普研学创新，打造可复制推广的贵州特色科普示范样板。</w:t>
      </w:r>
    </w:p>
    <w:p w14:paraId="6F644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资助对象：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具有较强创新能力和示范意愿的各类机构（企业、高校、科研院所、科协所属科技社团、社会组织、科普场馆、基层科协等）。</w:t>
      </w:r>
    </w:p>
    <w:p w14:paraId="5863B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资助数量：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计划实施5-15个项目。</w:t>
      </w:r>
    </w:p>
    <w:p w14:paraId="61CE0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资助资金：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每个项目20-30万元。</w:t>
      </w:r>
    </w:p>
    <w:p w14:paraId="5BF59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重点绩效指标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（选择以下指标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之一进行填报）：</w:t>
      </w:r>
    </w:p>
    <w:p w14:paraId="22BBAC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本土特色科普精品创作项目</w:t>
      </w:r>
    </w:p>
    <w:p w14:paraId="0E72B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重点围绕贵州大数据、自然生态、山地农业、地质地貌、桥梁工程、卫生健康等特色资源，系统性创作、整理、汇编本土化原创科普成果不少于6项，涵盖科普图文手册、系列短视频、主题科普海报、轻量化数字素材、简易研学配套资料等多元形式。搭建或利用基层科普资源共享推送渠道，面向校园、社区、乡村开展科普资源普惠推广，丰富基层科普内容供给，形成体系化、可复用、可推广的本土科普内容成果库。</w:t>
      </w:r>
    </w:p>
    <w:p w14:paraId="7CF5D4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“科普+”融合研学示范项目</w:t>
      </w:r>
    </w:p>
    <w:p w14:paraId="4AAB89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根据省科协“十五五”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打造多彩贵州科普研学品牌目标任务，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立足贵州自然资源、生态资源、民族文化、重点产业和特色优势产业等禀赋，打造标准化科普研学产品1项（阵地研学产品、研学线路产品二选一）。配套开发适配青少年群体的规范化研学课程资料、活动流程体系，落地开展常态化、体验式科普研学实践活动不少于4场，参与青少年不少于200人，形成完整的示范成果材料与可复制推广的基层科普研学示范模式。</w:t>
      </w:r>
    </w:p>
    <w:p w14:paraId="5AB5F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“人工智能+科普”数字化试点项目</w:t>
      </w:r>
    </w:p>
    <w:p w14:paraId="4C40A0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紧扣省科协“十五五”实施人工智能引领科普范式变革要求，推进“人工智能+科普”基层试点建设。立足贵州本土科技资源，开发轻量化、可落地、适配基层传播的智能化科普产品，搭建线上常态化科普服务端口，构建智能交互、精准推送、动态更新的数字化科普服务模式。依托信息化平台开展精准科普推送、线上科普互动、数字资源普惠共享，打破传统科普时空限制，拓宽基层科普传播渠道，总结形成智能化、低成本、可复制的基层数字科普创新示范模式。线上平台点击量不少于10万人次，或线下场景服务量不少于1万人次。</w:t>
      </w:r>
    </w:p>
    <w:p w14:paraId="152A15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（4）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多方协同科创科普活动示范项目</w:t>
      </w:r>
    </w:p>
    <w:p w14:paraId="3FEFA8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落实省科协“十五五”构建社会化大科普格局、推动科普资源共建共享部署，整合联动科技小院、贵州省博士创新站、科普教育基地、高校科研团队等优质科创资源。组建专业化科普服务力量，常态化面向基层群众、中小学生开展科学探究、科创体验、前沿科技宣讲等跨界融合科普活动不少于6场、1000人次。依托全省科创科普赛事体系，开展基层科创科普培育、成果交流、人才孵化工作，健全多方协同、资源互通、常态服务的基层科普工作机制，打造资源集聚、联动高效、辐射广泛的社会化科普示范样板1个以上。</w:t>
      </w:r>
    </w:p>
    <w:p w14:paraId="3D52EBCD">
      <w:pPr>
        <w:pStyle w:val="2"/>
        <w:rPr>
          <w:rFonts w:hint="default"/>
          <w:color w:val="auto"/>
          <w:lang w:val="en-US" w:eastAsia="zh-CN"/>
        </w:rPr>
      </w:pPr>
    </w:p>
    <w:p w14:paraId="686655E1">
      <w:pPr>
        <w:rPr>
          <w:rFonts w:hint="default"/>
          <w:color w:val="auto"/>
          <w:lang w:val="en-US" w:eastAsia="zh-CN"/>
        </w:rPr>
      </w:pPr>
    </w:p>
    <w:p w14:paraId="3FE8BD00">
      <w:pPr>
        <w:pStyle w:val="2"/>
        <w:rPr>
          <w:rFonts w:hint="default"/>
          <w:color w:val="auto"/>
          <w:lang w:val="en-US" w:eastAsia="zh-CN"/>
        </w:rPr>
      </w:pPr>
    </w:p>
    <w:p w14:paraId="7C977AB0">
      <w:pPr>
        <w:rPr>
          <w:rFonts w:hint="default"/>
          <w:color w:val="auto"/>
          <w:lang w:val="en-US" w:eastAsia="zh-CN"/>
        </w:rPr>
      </w:pPr>
    </w:p>
    <w:p w14:paraId="41644D2D">
      <w:pPr>
        <w:pStyle w:val="2"/>
        <w:rPr>
          <w:rFonts w:hint="default"/>
          <w:color w:val="auto"/>
          <w:lang w:val="en-US" w:eastAsia="zh-CN"/>
        </w:rPr>
      </w:pPr>
    </w:p>
    <w:p w14:paraId="27E428BB">
      <w:pPr>
        <w:rPr>
          <w:rFonts w:hint="default"/>
          <w:color w:val="auto"/>
          <w:lang w:val="en-US" w:eastAsia="zh-CN"/>
        </w:rPr>
      </w:pPr>
    </w:p>
    <w:p w14:paraId="2F41C505">
      <w:pPr>
        <w:pStyle w:val="2"/>
        <w:rPr>
          <w:rFonts w:hint="default"/>
          <w:color w:val="auto"/>
          <w:lang w:val="en-US" w:eastAsia="zh-CN"/>
        </w:rPr>
      </w:pPr>
    </w:p>
    <w:p w14:paraId="45FE6C9B">
      <w:pPr>
        <w:rPr>
          <w:rFonts w:hint="default"/>
          <w:color w:val="auto"/>
          <w:lang w:val="en-US" w:eastAsia="zh-CN"/>
        </w:rPr>
      </w:pPr>
    </w:p>
    <w:p w14:paraId="4C502ED6">
      <w:pPr>
        <w:pStyle w:val="2"/>
        <w:rPr>
          <w:rFonts w:hint="default"/>
          <w:color w:val="auto"/>
          <w:lang w:val="en-US" w:eastAsia="zh-CN"/>
        </w:rPr>
      </w:pPr>
    </w:p>
    <w:p w14:paraId="116EDFAF">
      <w:pPr>
        <w:rPr>
          <w:rFonts w:hint="default"/>
          <w:color w:val="auto"/>
          <w:lang w:val="en-US" w:eastAsia="zh-CN"/>
        </w:rPr>
      </w:pPr>
    </w:p>
    <w:p w14:paraId="008A3207">
      <w:pPr>
        <w:pStyle w:val="2"/>
        <w:rPr>
          <w:rFonts w:hint="default"/>
          <w:color w:val="auto"/>
          <w:lang w:val="en-US" w:eastAsia="zh-CN"/>
        </w:rPr>
      </w:pPr>
    </w:p>
    <w:p w14:paraId="35BFF530">
      <w:pPr>
        <w:rPr>
          <w:rFonts w:hint="default"/>
          <w:color w:val="auto"/>
          <w:lang w:val="en-US" w:eastAsia="zh-CN"/>
        </w:rPr>
      </w:pPr>
    </w:p>
    <w:p w14:paraId="435213FB">
      <w:pPr>
        <w:pStyle w:val="2"/>
        <w:rPr>
          <w:rFonts w:hint="default"/>
          <w:color w:val="auto"/>
          <w:lang w:val="en-US" w:eastAsia="zh-CN"/>
        </w:rPr>
      </w:pPr>
    </w:p>
    <w:p w14:paraId="2377D4DA">
      <w:pPr>
        <w:rPr>
          <w:rFonts w:hint="default"/>
          <w:color w:val="auto"/>
          <w:lang w:val="en-US" w:eastAsia="zh-CN"/>
        </w:rPr>
      </w:pPr>
    </w:p>
    <w:p w14:paraId="432DE772">
      <w:pPr>
        <w:pStyle w:val="2"/>
        <w:rPr>
          <w:rFonts w:hint="default"/>
          <w:color w:val="auto"/>
          <w:lang w:val="en-US" w:eastAsia="zh-CN"/>
        </w:rPr>
      </w:pPr>
    </w:p>
    <w:p w14:paraId="58945718">
      <w:pPr>
        <w:rPr>
          <w:rFonts w:hint="default"/>
          <w:color w:val="auto"/>
          <w:lang w:val="en-US" w:eastAsia="zh-CN"/>
        </w:rPr>
      </w:pPr>
    </w:p>
    <w:p w14:paraId="4CE4AB78">
      <w:pPr>
        <w:pStyle w:val="2"/>
        <w:rPr>
          <w:rFonts w:hint="default"/>
          <w:color w:val="auto"/>
          <w:lang w:val="en-US" w:eastAsia="zh-CN"/>
        </w:rPr>
      </w:pPr>
    </w:p>
    <w:p w14:paraId="6C03C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47CCE3"/>
    <w:multiLevelType w:val="singleLevel"/>
    <w:tmpl w:val="CC47CCE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F0B91FD"/>
    <w:multiLevelType w:val="singleLevel"/>
    <w:tmpl w:val="6F0B91FD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2">
    <w:nsid w:val="749730E4"/>
    <w:multiLevelType w:val="singleLevel"/>
    <w:tmpl w:val="749730E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03C34"/>
    <w:rsid w:val="7020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2026-08-25T06:04:00Z</dcterms:created>
  <dc:creator>小青年</dc:creator>
  <cp:lastModifiedBy>小青年</cp:lastModifiedBy>
  <dcterms:modified xsi:type="dcterms:W3CDTF">2026-08-25T06:05:30Z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9113FF3A68C2412FB69A8BBABEA88E97_11</vt:lpwstr>
  </property>
  <property fmtid="{D5CDD505-2E9C-101B-9397-08002B2CF9AE}" pid="4" name="KSOTemplateDocerSaveRecord">
    <vt:lpwstr>eyJoZGlkIjoiOGI4NzZhODhkMjY4MTMyZjQ4Y2Y0YzM3MmQwOTAwMWYiLCJ1c2VySWQiOiI0MjI5NDcwMzYifQ==</vt:lpwstr>
  </property>
</Properties>
</file>